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DOCUMENTO DE FORMALIZAÇÃO DA DEMANDA – DFD</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8770.0" w:type="dxa"/>
        <w:jc w:val="left"/>
        <w:tblInd w:w="-13.0" w:type="dxa"/>
        <w:tblLayout w:type="fixed"/>
        <w:tblLook w:val="0400"/>
      </w:tblPr>
      <w:tblGrid>
        <w:gridCol w:w="8770"/>
        <w:tblGridChange w:id="0">
          <w:tblGrid>
            <w:gridCol w:w="8770"/>
          </w:tblGrid>
        </w:tblGridChange>
      </w:tblGrid>
      <w:tr>
        <w:trPr>
          <w:cantSplit w:val="0"/>
          <w:trHeight w:val="380.9765625" w:hRule="atLeast"/>
          <w:tblHeader w:val="0"/>
        </w:trPr>
        <w:tc>
          <w:tcPr>
            <w:tcBorders>
              <w:top w:color="000000" w:space="0" w:sz="4" w:val="single"/>
              <w:left w:color="000000" w:space="0" w:sz="4" w:val="single"/>
              <w:right w:color="000000" w:space="0" w:sz="4" w:val="single"/>
            </w:tcBorders>
            <w:shd w:fill="b2b2b2" w:val="clear"/>
            <w:tcMar>
              <w:top w:w="55.0" w:type="dxa"/>
              <w:left w:w="55.0" w:type="dxa"/>
              <w:bottom w:w="55.0" w:type="dxa"/>
              <w:right w:w="55.0" w:type="dxa"/>
            </w:tcMar>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INTRODUÇÃO</w:t>
            </w:r>
          </w:p>
        </w:tc>
      </w:tr>
      <w:tr>
        <w:trPr>
          <w:cantSplit w:val="0"/>
          <w:trHeight w:val="2617" w:hRule="atLeast"/>
          <w:tblHeader w:val="0"/>
        </w:trPr>
        <w:tc>
          <w:tcPr>
            <w:tcBorders>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 acordo com o inciso IV do art. 2º do Decreto nº 10.947, de 25 de janeiro de 2022, o   Documento de Formalização de Demanda (DFD) é o documento que fundamenta o plano de contratações anual, em que a área requisitante evidencia e detalha a necessidade de contratação.</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Adicionalmente, o art. 8º do Decreto nº 10.947, de 2022 e § 1º do art. 10 da Instrução Normativa SGD/ME n° 94, de 23 de dezembro de 2022, especificam as informações mínimas requeridas ao preenchimento do DFD no Sistema de Planejamento e Gerenciamento de Contratações (PGC), as quais serão detalhadas nos tópicos a seguir.</w:t>
            </w:r>
          </w:p>
        </w:tc>
      </w:tr>
    </w:tbl>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8789.0" w:type="dxa"/>
        <w:jc w:val="left"/>
        <w:tblInd w:w="-3.0" w:type="dxa"/>
        <w:tblLayout w:type="fixed"/>
        <w:tblLook w:val="0400"/>
      </w:tblPr>
      <w:tblGrid>
        <w:gridCol w:w="8789"/>
        <w:tblGridChange w:id="0">
          <w:tblGrid>
            <w:gridCol w:w="878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ccccc" w:val="clear"/>
            <w:tcMar>
              <w:top w:w="55.0" w:type="dxa"/>
              <w:left w:w="55.0" w:type="dxa"/>
              <w:bottom w:w="55.0" w:type="dxa"/>
              <w:right w:w="55.0" w:type="dxa"/>
            </w:tcMar>
          </w:tcPr>
          <w:p w:rsidR="00000000" w:rsidDel="00000000" w:rsidP="00000000" w:rsidRDefault="00000000" w:rsidRPr="00000000" w14:paraId="0000000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81"/>
                <w:tab w:val="left" w:leader="none" w:pos="1140"/>
                <w:tab w:val="left" w:leader="none" w:pos="1395"/>
                <w:tab w:val="left" w:leader="none" w:pos="1650"/>
                <w:tab w:val="left" w:leader="none" w:pos="1965"/>
                <w:tab w:val="left" w:leader="none" w:pos="2220"/>
                <w:tab w:val="left" w:leader="none" w:pos="7336"/>
              </w:tabs>
              <w:spacing w:after="57" w:before="57" w:line="240" w:lineRule="auto"/>
              <w:ind w:left="381" w:right="0" w:hanging="381"/>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INFORMAÇÕES GERAIS</w:t>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9">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Data prevista para conclusão do processo</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2 meses a partir da formalização da demanda.</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ff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C">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Descrição sucinta do objeto</w:t>
            </w:r>
          </w:p>
          <w:p w:rsidR="00000000" w:rsidDel="00000000" w:rsidP="00000000" w:rsidRDefault="00000000" w:rsidRPr="00000000" w14:paraId="0000000D">
            <w:pPr>
              <w:spacing w:line="276" w:lineRule="auto"/>
              <w:jc w:val="both"/>
              <w:rPr>
                <w:b w:val="1"/>
                <w:bCs w:val="1"/>
              </w:rPr>
            </w:pPr>
            <w:r w:rsidDel="00000000" w:rsidR="00000000" w:rsidRPr="00000000">
              <w:rPr>
                <w:rtl w:val="0"/>
              </w:rPr>
              <w:t xml:space="preserve">O presente processo administrativo, tem por objeto o registro preços visando prestação de serviços especializados de consultoria e assessoria administrativa com solução informatizada, tendo por finalidade o levantamento e a recuperação de créditos de tributos dos municípios consorciados.</w:t>
            </w:r>
            <w:r w:rsidDel="00000000" w:rsidR="00000000" w:rsidRPr="00000000">
              <w:rPr>
                <w:rtl w:val="0"/>
              </w:rPr>
            </w:r>
          </w:p>
        </w:tc>
      </w:tr>
      <w:tr>
        <w:trPr>
          <w:cantSplit w:val="0"/>
          <w:trHeight w:val="397"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E">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Grau de prioridade da compra ou da contratação</w:t>
            </w: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Média.</w:t>
            </w:r>
          </w:p>
          <w:p w:rsidR="00000000" w:rsidDel="00000000" w:rsidP="00000000" w:rsidRDefault="00000000" w:rsidRPr="00000000" w14:paraId="00000010">
            <w:pPr>
              <w:spacing w:line="276" w:lineRule="auto"/>
              <w:rPr>
                <w:b w:val="1"/>
                <w:bCs w:val="1"/>
              </w:rPr>
            </w:pPr>
            <w:r w:rsidDel="00000000" w:rsidR="00000000" w:rsidRPr="00000000">
              <w:rPr>
                <w:rtl w:val="0"/>
              </w:rPr>
            </w:r>
          </w:p>
        </w:tc>
      </w:tr>
    </w:tbl>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tbl>
      <w:tblPr>
        <w:tblStyle w:val="Table3"/>
        <w:tblW w:w="8836.0" w:type="dxa"/>
        <w:jc w:val="left"/>
        <w:tblLayout w:type="fixed"/>
        <w:tblLook w:val="0400"/>
      </w:tblPr>
      <w:tblGrid>
        <w:gridCol w:w="8836"/>
        <w:tblGridChange w:id="0">
          <w:tblGrid>
            <w:gridCol w:w="883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ccccc" w:val="clear"/>
            <w:tcMar>
              <w:top w:w="55.0" w:type="dxa"/>
              <w:left w:w="55.0" w:type="dxa"/>
              <w:bottom w:w="55.0" w:type="dxa"/>
              <w:right w:w="55.0" w:type="dxa"/>
            </w:tcMar>
          </w:tcPr>
          <w:p w:rsidR="00000000" w:rsidDel="00000000" w:rsidP="00000000" w:rsidRDefault="00000000" w:rsidRPr="00000000" w14:paraId="0000001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81"/>
                <w:tab w:val="left" w:leader="none" w:pos="1140"/>
                <w:tab w:val="left" w:leader="none" w:pos="1395"/>
                <w:tab w:val="left" w:leader="none" w:pos="1650"/>
                <w:tab w:val="left" w:leader="none" w:pos="1965"/>
                <w:tab w:val="left" w:leader="none" w:pos="2220"/>
                <w:tab w:val="left" w:leader="none" w:pos="7336"/>
              </w:tabs>
              <w:spacing w:after="57" w:before="57" w:line="240" w:lineRule="auto"/>
              <w:ind w:left="381" w:right="0" w:hanging="381"/>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JUSTIFICATIVA DA NECESSIDADE DA CONTRATAÇÃO</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1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76" w:lineRule="auto"/>
              <w:ind w:left="720" w:right="0" w:hanging="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Justificativa da necessidade da contratação</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presente contratação revela-se necessária e estratégica para o interesse público consorciado, diante da constatação de que diversos municípios integrantes do Consórcio Intermunicipal podem ter direito à restituição, compensação e regularização de tributos e contribuições recolhidos indevidamente nos últimos exercícios, abrangendo, entre outras rubricas, Previdência Geral (RGPS/INSS), Previdência Própria (RPPS), RAT/FAP, PASEP, IRPJ/IRRF, Taxas incidentes sobre telefonia (TFF, TLA e Habite-se), bem como repasses federais vinculados ao SUS e ao FUNDEB.</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Nesse sentido, é sabido que as inconsistências tributárias e previdenciárias, ainda que decorrentes de erros formais ou de interpretações divergentes da legislação, provocam impactos diretos sobre as finanças municipais, reduzindo a capacidade de investimento e comprometendo o equilíbrio fiscal dos entes.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Ainda no contexto, a Lei de Responsabilidade Fiscal (Lei Complementar nº 101/2000) impõe ao gestor público o dever de efetuar a arrecadação de todos os tributos de competência municipal e de zelar pela eficiência na gestão das receitas públicas.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Portanto, é imperioso destacar que a recuperação de créditos tributários e previdenciários constitui medida não apenas legítima, mas obrigatória à luz do princípio da eficiência administrativa (art. 37, caput, da Constituição Federal), representando ação de gestão fiscal responsável e promotora da sustentabilidade financeira dos entes consorciados.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 entanto, a execução dessa atividade demanda elevado grau de especialização técnica, conjugando conhecimentos jurídicos, contábeis, previdenciários, fiscais e tecnológicos, de modo a garantir segurança jurídica e rastreabilidade das informações processadas. Os municípios, por sua vez, não dispõem de corpo técnico especializado nem de estrutura de tecnologia da informação capaz de realizar, de forma integrada e auditável, o levantamento, o saneamento e a compensação dos créditos. Suas equipes internas, em regra, já se encontram sobrecarregadas com rotinas administrativas e de execução orçamentária e contábil, o que inviabiliza o desempenho eficiente dessa tarefa complexa, podendo resultar em perda de prazos prescricionais e de recursos públicos.</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Deste modo, a contratação justifica-se pela necessidade de padronização, otimização e profissionalização dos procedimentos de recuperação tributária no âmbito do Consórcio, mediante a utilização de solução informatizada que assegure a conformidade dos cálculos, a rastreabilidade dos dados e a transparência dos resultados, permitindo que todos os municípios consorciados interessados atuem de forma homogênea e tecnicamente assistida, ampliando a efetividade dos resultados e reduzindo custos operacionais, em observância aos princípios da economicidade e da eficiência.</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Ademais, cumpre destacar que conforme o artigo 74, inciso III, alínea “c”, da Lei Federal nº 14.133/2021, é inexigível a licitação quando houver inviabilidade de competição, notadamente para contratação de serviços técnicos especializados de natureza predominantemente intelectual, com profissionais ou empresas de notória especialização, cuja atuação se mostre indiscutivelmente a mais adequada à plena satisfação do interesse público:</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4473"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“Art. 74. É inexigível a licitação quando inviável a competição, em especial nos casos de:</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4473"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4473"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III - contratação dos seguintes serviços técnicos especializados de natureza predominantemente intelectual com profissionais ou empresas de notória especialização, vedada a inexigibilidade para serviços de publicidade e divulgação:</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4473"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4473"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c) assessorias ou consultorias técnicas e auditorias financeiras ou tributárias;</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4473"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 serviço pretendido ora pretendido, que envolve a recuperação de créditos previdenciários, tributários e federativos por meio de metodologia própria e sistema informatizado com rastreabilidade legal, enquadra-se precisamente nessa hipótese legal, por se tratar de atividade técnica singular e de alta complexidade, cuja execução requer experiência comprovada, acervo técnico consolidado e domínio de soluções tecnológicas específicas de integração de dados fiscais e contábeis, não sendo possível a competição em bases objetivas de preço.</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Além de garantir a recuperação de receitas municipais de forma segura e auditável, a iniciativa permitirá ao Consórcio Intermunicipal instrumentalizar os municípios com tecnologia, capacitação e suporte contínuo, promovendo a modernização da gestão tributária local e fortalecendo a autonomia financeira dos entes federados, em consonância com os objetivos do consorciamento público previstos na Lei Federal nº 11.107/2005 e no Decreto Federal nº 6.017/2007.</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Diante disso, evidencia-se que a contratação é necessária, vantajosa e plenamente justificada, pois: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atende ao interesse público consorciado e à eficiência arrecadatória;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b)</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corrige distorções tributárias e previdenciárias acumuladas;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c)</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evita a perda de valores por prescrição;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d)</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adota solução tecnológica inovadora, auditável e padronizada;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assegura segurança jurídica e transparência na gestão dos créditos; e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f)</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permite a recomposição das receitas municipais sem impacto orçamentário imediato, uma vez que o pagamento é vinculado aos resultados efetivamente obtidos.</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Diante do exposto, a contratação por inexigibilidade de licitação revela-se a única via juridicamente e tecnicamente viável para a consecução do objeto pretendido, garantindo o cumprimento do dever legal de arrecadar, o fortalecimento das finanças locais e a sustentabilidade fiscal dos municípios consorciados.</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tabs>
                <w:tab w:val="left" w:leader="none" w:pos="0"/>
                <w:tab w:val="left" w:leader="none" w:pos="555"/>
                <w:tab w:val="left" w:leader="none" w:pos="1140"/>
                <w:tab w:val="left" w:leader="none" w:pos="1395"/>
                <w:tab w:val="left" w:leader="none" w:pos="1650"/>
                <w:tab w:val="left" w:leader="none" w:pos="1965"/>
                <w:tab w:val="left" w:leader="none" w:pos="2220"/>
                <w:tab w:val="left" w:leader="none" w:pos="7336"/>
              </w:tabs>
              <w:spacing w:after="57" w:before="57" w:line="276" w:lineRule="auto"/>
              <w:ind w:left="0" w:right="0" w:firstLine="0"/>
              <w:jc w:val="both"/>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Indicação de vinculação ou dependência com o objeto de outro documento de formalização de demanda.</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O objeto em estudo não apresenta qualquer vínculo, interdependência ou condicionamento técnico, orçamentário, operacional ou cronológico com outros Documentos de Formalização de Demanda existentes ou em tramitação no âmbito do Consórcio Intermunicipal ou dos Municípios consorciados.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55"/>
                <w:tab w:val="left" w:leader="none" w:pos="840"/>
                <w:tab w:val="left" w:leader="none" w:pos="1140"/>
                <w:tab w:val="left" w:leader="none" w:pos="1395"/>
                <w:tab w:val="left" w:leader="none" w:pos="1650"/>
                <w:tab w:val="left" w:leader="none" w:pos="1965"/>
                <w:tab w:val="left" w:leader="none" w:pos="2220"/>
                <w:tab w:val="left" w:leader="none" w:pos="7336"/>
              </w:tabs>
              <w:spacing w:after="57" w:before="57"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presente contratação possui escopo modular e execução autônoma, estruturada para atender a cada ente consorciado de forma individualizada, conforme sua adesão e necessidade específica, sem dependência de insumos, resultados ou cronogramas de outras contratações eventualmente conduzidas pelo Consórcio ou pelas Administrações Municipais.</w:t>
            </w:r>
          </w:p>
        </w:tc>
      </w:tr>
    </w:tbl>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tbl>
      <w:tblPr>
        <w:tblStyle w:val="Table4"/>
        <w:tblW w:w="11624.999999999998" w:type="dxa"/>
        <w:jc w:val="left"/>
        <w:tblInd w:w="-996.0" w:type="dxa"/>
        <w:tblLayout w:type="fixed"/>
        <w:tblLook w:val="0400"/>
      </w:tblPr>
      <w:tblGrid>
        <w:gridCol w:w="983"/>
        <w:gridCol w:w="19"/>
        <w:gridCol w:w="2826"/>
        <w:gridCol w:w="5943"/>
        <w:gridCol w:w="28"/>
        <w:gridCol w:w="1826"/>
        <w:tblGridChange w:id="0">
          <w:tblGrid>
            <w:gridCol w:w="983"/>
            <w:gridCol w:w="19"/>
            <w:gridCol w:w="2826"/>
            <w:gridCol w:w="5943"/>
            <w:gridCol w:w="28"/>
            <w:gridCol w:w="1826"/>
          </w:tblGrid>
        </w:tblGridChange>
      </w:tblGrid>
      <w:tr>
        <w:trPr>
          <w:cantSplit w:val="0"/>
          <w:tblHeader w:val="0"/>
        </w:trPr>
        <w:tc>
          <w:tcPr>
            <w:gridSpan w:val="6"/>
            <w:tcBorders>
              <w:top w:color="000000" w:space="0" w:sz="4" w:val="single"/>
              <w:left w:color="000000" w:space="0" w:sz="4" w:val="single"/>
              <w:bottom w:color="000000" w:space="0" w:sz="4" w:val="single"/>
              <w:right w:color="000000" w:space="0" w:sz="4" w:val="single"/>
            </w:tcBorders>
            <w:shd w:fill="cccccc" w:val="clear"/>
            <w:tcMar>
              <w:top w:w="55.0" w:type="dxa"/>
              <w:left w:w="55.0" w:type="dxa"/>
              <w:bottom w:w="55.0" w:type="dxa"/>
              <w:right w:w="55.0" w:type="dxa"/>
            </w:tcMar>
          </w:tcPr>
          <w:p w:rsidR="00000000" w:rsidDel="00000000" w:rsidP="00000000" w:rsidRDefault="00000000" w:rsidRPr="00000000" w14:paraId="0000004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81"/>
                <w:tab w:val="left" w:leader="none" w:pos="1140"/>
                <w:tab w:val="left" w:leader="none" w:pos="1395"/>
                <w:tab w:val="left" w:leader="none" w:pos="1650"/>
                <w:tab w:val="left" w:leader="none" w:pos="1965"/>
                <w:tab w:val="left" w:leader="none" w:pos="2220"/>
                <w:tab w:val="left" w:leader="none" w:pos="7336"/>
              </w:tabs>
              <w:spacing w:after="57" w:before="57" w:line="240" w:lineRule="auto"/>
              <w:ind w:left="381" w:right="0" w:hanging="381"/>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MATERIAIS/SERVIÇOS</w:t>
            </w:r>
          </w:p>
        </w:tc>
      </w:tr>
      <w:tr>
        <w:trPr>
          <w:cantSplit w:val="0"/>
          <w:tblHeader w:val="0"/>
        </w:trPr>
        <w:tc>
          <w:tcPr>
            <w:gridSpan w:val="6"/>
            <w:tcBorders>
              <w:top w:color="000000" w:space="0" w:sz="4" w:val="single"/>
              <w:left w:color="000000" w:space="0" w:sz="4" w:val="single"/>
              <w:bottom w:color="000000" w:space="0" w:sz="4" w:val="single"/>
              <w:right w:color="000000" w:space="0" w:sz="4" w:val="single"/>
            </w:tcBorders>
            <w:tcMar>
              <w:top w:w="55.0" w:type="dxa"/>
              <w:left w:w="55.0" w:type="dxa"/>
              <w:bottom w:w="55.0" w:type="dxa"/>
              <w:right w:w="55.0" w:type="dxa"/>
            </w:tcMar>
          </w:tcPr>
          <w:p w:rsidR="00000000" w:rsidDel="00000000" w:rsidP="00000000" w:rsidRDefault="00000000" w:rsidRPr="00000000" w14:paraId="00000052">
            <w:pPr>
              <w:spacing w:after="57" w:before="57" w:lineRule="auto"/>
              <w:jc w:val="both"/>
              <w:rPr/>
            </w:pPr>
            <w:r w:rsidDel="00000000" w:rsidR="00000000" w:rsidRPr="00000000">
              <w:rPr>
                <w:rtl w:val="0"/>
              </w:rPr>
              <w:t xml:space="preserve">As contratações decorrentes do presente estudo técnico serão executadas em estrita observância às manifestações de interesse formalizadas pelos órgãos e entidades competentes dos Municípios consorciados, conforme identificação prévia em sede de Intenção de Registro de Preços (IRP) conduzida pelo Consórcio Intermunicipal, as quais comporão a seguinte tabela:</w:t>
            </w:r>
          </w:p>
          <w:p w:rsidR="00000000" w:rsidDel="00000000" w:rsidP="00000000" w:rsidRDefault="00000000" w:rsidRPr="00000000" w14:paraId="00000053">
            <w:pPr>
              <w:spacing w:after="57" w:before="57" w:lineRule="auto"/>
              <w:jc w:val="both"/>
              <w:rPr/>
            </w:pPr>
            <w:r w:rsidDel="00000000" w:rsidR="00000000" w:rsidRPr="00000000">
              <w:rPr>
                <w:rtl w:val="0"/>
              </w:rPr>
            </w:r>
          </w:p>
          <w:tbl>
            <w:tblPr>
              <w:tblStyle w:val="Table5"/>
              <w:tblW w:w="1142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18"/>
              <w:gridCol w:w="850"/>
              <w:gridCol w:w="851"/>
              <w:gridCol w:w="992"/>
              <w:gridCol w:w="1134"/>
              <w:gridCol w:w="709"/>
              <w:gridCol w:w="992"/>
              <w:gridCol w:w="992"/>
              <w:gridCol w:w="851"/>
              <w:gridCol w:w="1134"/>
              <w:gridCol w:w="850"/>
              <w:gridCol w:w="851"/>
              <w:tblGridChange w:id="0">
                <w:tblGrid>
                  <w:gridCol w:w="1218"/>
                  <w:gridCol w:w="850"/>
                  <w:gridCol w:w="851"/>
                  <w:gridCol w:w="992"/>
                  <w:gridCol w:w="1134"/>
                  <w:gridCol w:w="709"/>
                  <w:gridCol w:w="992"/>
                  <w:gridCol w:w="992"/>
                  <w:gridCol w:w="851"/>
                  <w:gridCol w:w="1134"/>
                  <w:gridCol w:w="850"/>
                  <w:gridCol w:w="851"/>
                </w:tblGrid>
              </w:tblGridChange>
            </w:tblGrid>
            <w:tr>
              <w:trPr>
                <w:cantSplit w:val="0"/>
                <w:tblHeader w:val="0"/>
              </w:trPr>
              <w:tc>
                <w:tcPr>
                  <w:shd w:fill="ffd932" w:val="clear"/>
                  <w:vAlign w:val="center"/>
                </w:tcPr>
                <w:p w:rsidR="00000000" w:rsidDel="00000000" w:rsidP="00000000" w:rsidRDefault="00000000" w:rsidRPr="00000000" w14:paraId="00000054">
                  <w:pPr>
                    <w:spacing w:after="57" w:before="57" w:lineRule="auto"/>
                    <w:jc w:val="center"/>
                    <w:rPr>
                      <w:b w:val="1"/>
                      <w:bCs w:val="1"/>
                      <w:sz w:val="18"/>
                      <w:szCs w:val="18"/>
                    </w:rPr>
                  </w:pPr>
                  <w:r w:rsidDel="00000000" w:rsidR="00000000" w:rsidRPr="00000000">
                    <w:rPr>
                      <w:b w:val="1"/>
                      <w:bCs w:val="1"/>
                      <w:sz w:val="18"/>
                      <w:szCs w:val="18"/>
                      <w:rtl w:val="0"/>
                    </w:rPr>
                    <w:t xml:space="preserve">CIMMVI</w:t>
                  </w:r>
                </w:p>
              </w:tc>
              <w:tc>
                <w:tcPr>
                  <w:shd w:fill="d5d5d5" w:val="clear"/>
                  <w:vAlign w:val="center"/>
                </w:tcPr>
                <w:p w:rsidR="00000000" w:rsidDel="00000000" w:rsidP="00000000" w:rsidRDefault="00000000" w:rsidRPr="00000000" w14:paraId="00000055">
                  <w:pPr>
                    <w:spacing w:after="57" w:before="57" w:lineRule="auto"/>
                    <w:jc w:val="center"/>
                    <w:rPr>
                      <w:b w:val="1"/>
                      <w:bCs w:val="1"/>
                      <w:sz w:val="18"/>
                      <w:szCs w:val="18"/>
                    </w:rPr>
                  </w:pPr>
                  <w:r w:rsidDel="00000000" w:rsidR="00000000" w:rsidRPr="00000000">
                    <w:rPr>
                      <w:b w:val="1"/>
                      <w:bCs w:val="1"/>
                      <w:sz w:val="18"/>
                      <w:szCs w:val="18"/>
                      <w:rtl w:val="0"/>
                    </w:rPr>
                    <w:t xml:space="preserve">Carmo do Cajuru</w:t>
                  </w:r>
                </w:p>
              </w:tc>
              <w:tc>
                <w:tcPr>
                  <w:shd w:fill="d5d5d5" w:val="clear"/>
                  <w:vAlign w:val="center"/>
                </w:tcPr>
                <w:p w:rsidR="00000000" w:rsidDel="00000000" w:rsidP="00000000" w:rsidRDefault="00000000" w:rsidRPr="00000000" w14:paraId="00000056">
                  <w:pPr>
                    <w:spacing w:after="57" w:before="57" w:lineRule="auto"/>
                    <w:jc w:val="center"/>
                    <w:rPr>
                      <w:b w:val="1"/>
                      <w:bCs w:val="1"/>
                      <w:sz w:val="18"/>
                      <w:szCs w:val="18"/>
                    </w:rPr>
                  </w:pPr>
                  <w:r w:rsidDel="00000000" w:rsidR="00000000" w:rsidRPr="00000000">
                    <w:rPr>
                      <w:b w:val="1"/>
                      <w:bCs w:val="1"/>
                      <w:sz w:val="18"/>
                      <w:szCs w:val="18"/>
                      <w:rtl w:val="0"/>
                    </w:rPr>
                    <w:t xml:space="preserve">Igaratinga</w:t>
                  </w:r>
                </w:p>
              </w:tc>
              <w:tc>
                <w:tcPr>
                  <w:shd w:fill="d5d5d5" w:val="clear"/>
                  <w:vAlign w:val="center"/>
                </w:tcPr>
                <w:p w:rsidR="00000000" w:rsidDel="00000000" w:rsidP="00000000" w:rsidRDefault="00000000" w:rsidRPr="00000000" w14:paraId="00000057">
                  <w:pPr>
                    <w:spacing w:after="57" w:before="57" w:lineRule="auto"/>
                    <w:jc w:val="center"/>
                    <w:rPr>
                      <w:b w:val="1"/>
                      <w:bCs w:val="1"/>
                      <w:sz w:val="18"/>
                      <w:szCs w:val="18"/>
                    </w:rPr>
                  </w:pPr>
                  <w:r w:rsidDel="00000000" w:rsidR="00000000" w:rsidRPr="00000000">
                    <w:rPr>
                      <w:b w:val="1"/>
                      <w:bCs w:val="1"/>
                      <w:sz w:val="18"/>
                      <w:szCs w:val="18"/>
                      <w:rtl w:val="0"/>
                    </w:rPr>
                    <w:t xml:space="preserve">Conceição do Pará</w:t>
                  </w:r>
                </w:p>
              </w:tc>
              <w:tc>
                <w:tcPr>
                  <w:shd w:fill="d5d5d5" w:val="clear"/>
                  <w:vAlign w:val="center"/>
                </w:tcPr>
                <w:p w:rsidR="00000000" w:rsidDel="00000000" w:rsidP="00000000" w:rsidRDefault="00000000" w:rsidRPr="00000000" w14:paraId="00000058">
                  <w:pPr>
                    <w:spacing w:after="57" w:before="57" w:lineRule="auto"/>
                    <w:jc w:val="center"/>
                    <w:rPr>
                      <w:b w:val="1"/>
                      <w:bCs w:val="1"/>
                      <w:sz w:val="18"/>
                      <w:szCs w:val="18"/>
                    </w:rPr>
                  </w:pPr>
                  <w:r w:rsidDel="00000000" w:rsidR="00000000" w:rsidRPr="00000000">
                    <w:rPr>
                      <w:b w:val="1"/>
                      <w:bCs w:val="1"/>
                      <w:sz w:val="18"/>
                      <w:szCs w:val="18"/>
                      <w:rtl w:val="0"/>
                    </w:rPr>
                    <w:t xml:space="preserve">Itapecerica</w:t>
                  </w:r>
                </w:p>
              </w:tc>
              <w:tc>
                <w:tcPr>
                  <w:shd w:fill="d5d5d5" w:val="clear"/>
                  <w:vAlign w:val="center"/>
                </w:tcPr>
                <w:p w:rsidR="00000000" w:rsidDel="00000000" w:rsidP="00000000" w:rsidRDefault="00000000" w:rsidRPr="00000000" w14:paraId="00000059">
                  <w:pPr>
                    <w:spacing w:after="57" w:before="57" w:lineRule="auto"/>
                    <w:jc w:val="center"/>
                    <w:rPr>
                      <w:b w:val="1"/>
                      <w:bCs w:val="1"/>
                      <w:sz w:val="18"/>
                      <w:szCs w:val="18"/>
                    </w:rPr>
                  </w:pPr>
                  <w:r w:rsidDel="00000000" w:rsidR="00000000" w:rsidRPr="00000000">
                    <w:rPr>
                      <w:b w:val="1"/>
                      <w:bCs w:val="1"/>
                      <w:sz w:val="18"/>
                      <w:szCs w:val="18"/>
                      <w:rtl w:val="0"/>
                    </w:rPr>
                    <w:t xml:space="preserve">Pedra do Indaiá</w:t>
                  </w:r>
                </w:p>
              </w:tc>
              <w:tc>
                <w:tcPr>
                  <w:shd w:fill="d5d5d5" w:val="clear"/>
                  <w:vAlign w:val="center"/>
                </w:tcPr>
                <w:p w:rsidR="00000000" w:rsidDel="00000000" w:rsidP="00000000" w:rsidRDefault="00000000" w:rsidRPr="00000000" w14:paraId="0000005A">
                  <w:pPr>
                    <w:spacing w:after="57" w:before="57" w:lineRule="auto"/>
                    <w:jc w:val="center"/>
                    <w:rPr>
                      <w:b w:val="1"/>
                      <w:bCs w:val="1"/>
                      <w:sz w:val="18"/>
                      <w:szCs w:val="18"/>
                    </w:rPr>
                  </w:pPr>
                  <w:r w:rsidDel="00000000" w:rsidR="00000000" w:rsidRPr="00000000">
                    <w:rPr>
                      <w:b w:val="1"/>
                      <w:bCs w:val="1"/>
                      <w:sz w:val="18"/>
                      <w:szCs w:val="18"/>
                      <w:rtl w:val="0"/>
                    </w:rPr>
                    <w:t xml:space="preserve">Perdigão</w:t>
                  </w:r>
                </w:p>
              </w:tc>
              <w:tc>
                <w:tcPr>
                  <w:shd w:fill="d5d5d5" w:val="clear"/>
                  <w:vAlign w:val="center"/>
                </w:tcPr>
                <w:p w:rsidR="00000000" w:rsidDel="00000000" w:rsidP="00000000" w:rsidRDefault="00000000" w:rsidRPr="00000000" w14:paraId="0000005B">
                  <w:pPr>
                    <w:spacing w:after="57" w:before="57" w:lineRule="auto"/>
                    <w:jc w:val="center"/>
                    <w:rPr>
                      <w:b w:val="1"/>
                      <w:bCs w:val="1"/>
                      <w:sz w:val="18"/>
                      <w:szCs w:val="18"/>
                    </w:rPr>
                  </w:pPr>
                  <w:r w:rsidDel="00000000" w:rsidR="00000000" w:rsidRPr="00000000">
                    <w:rPr>
                      <w:b w:val="1"/>
                      <w:bCs w:val="1"/>
                      <w:sz w:val="18"/>
                      <w:szCs w:val="18"/>
                      <w:rtl w:val="0"/>
                    </w:rPr>
                    <w:t xml:space="preserve">São Gonçalo do Pará</w:t>
                  </w:r>
                </w:p>
              </w:tc>
              <w:tc>
                <w:tcPr>
                  <w:shd w:fill="d5d5d5" w:val="clear"/>
                  <w:vAlign w:val="center"/>
                </w:tcPr>
                <w:p w:rsidR="00000000" w:rsidDel="00000000" w:rsidP="00000000" w:rsidRDefault="00000000" w:rsidRPr="00000000" w14:paraId="0000005C">
                  <w:pPr>
                    <w:spacing w:after="57" w:before="57" w:lineRule="auto"/>
                    <w:jc w:val="center"/>
                    <w:rPr>
                      <w:b w:val="1"/>
                      <w:bCs w:val="1"/>
                      <w:sz w:val="18"/>
                      <w:szCs w:val="18"/>
                    </w:rPr>
                  </w:pPr>
                  <w:r w:rsidDel="00000000" w:rsidR="00000000" w:rsidRPr="00000000">
                    <w:rPr>
                      <w:b w:val="1"/>
                      <w:bCs w:val="1"/>
                      <w:sz w:val="18"/>
                      <w:szCs w:val="18"/>
                      <w:rtl w:val="0"/>
                    </w:rPr>
                    <w:t xml:space="preserve">Lagoa da Prata</w:t>
                  </w:r>
                </w:p>
              </w:tc>
              <w:tc>
                <w:tcPr>
                  <w:shd w:fill="d5d5d5" w:val="clear"/>
                  <w:vAlign w:val="center"/>
                </w:tcPr>
                <w:p w:rsidR="00000000" w:rsidDel="00000000" w:rsidP="00000000" w:rsidRDefault="00000000" w:rsidRPr="00000000" w14:paraId="0000005D">
                  <w:pPr>
                    <w:spacing w:after="57" w:before="57" w:lineRule="auto"/>
                    <w:jc w:val="center"/>
                    <w:rPr>
                      <w:b w:val="1"/>
                      <w:bCs w:val="1"/>
                      <w:sz w:val="18"/>
                      <w:szCs w:val="18"/>
                    </w:rPr>
                  </w:pPr>
                  <w:r w:rsidDel="00000000" w:rsidR="00000000" w:rsidRPr="00000000">
                    <w:rPr>
                      <w:b w:val="1"/>
                      <w:bCs w:val="1"/>
                      <w:sz w:val="18"/>
                      <w:szCs w:val="18"/>
                      <w:rtl w:val="0"/>
                    </w:rPr>
                    <w:t xml:space="preserve">Divinópolis</w:t>
                  </w:r>
                </w:p>
              </w:tc>
              <w:tc>
                <w:tcPr>
                  <w:shd w:fill="d5d5d5" w:val="clear"/>
                  <w:vAlign w:val="center"/>
                </w:tcPr>
                <w:p w:rsidR="00000000" w:rsidDel="00000000" w:rsidP="00000000" w:rsidRDefault="00000000" w:rsidRPr="00000000" w14:paraId="0000005E">
                  <w:pPr>
                    <w:spacing w:after="57" w:before="57" w:lineRule="auto"/>
                    <w:jc w:val="center"/>
                    <w:rPr>
                      <w:b w:val="1"/>
                      <w:bCs w:val="1"/>
                      <w:sz w:val="18"/>
                      <w:szCs w:val="18"/>
                    </w:rPr>
                  </w:pPr>
                  <w:r w:rsidDel="00000000" w:rsidR="00000000" w:rsidRPr="00000000">
                    <w:rPr>
                      <w:b w:val="1"/>
                      <w:bCs w:val="1"/>
                      <w:sz w:val="18"/>
                      <w:szCs w:val="18"/>
                      <w:rtl w:val="0"/>
                    </w:rPr>
                    <w:t xml:space="preserve">Nova Serrana</w:t>
                  </w:r>
                </w:p>
              </w:tc>
              <w:tc>
                <w:tcPr>
                  <w:shd w:fill="ffd932" w:val="clear"/>
                  <w:vAlign w:val="center"/>
                </w:tcPr>
                <w:p w:rsidR="00000000" w:rsidDel="00000000" w:rsidP="00000000" w:rsidRDefault="00000000" w:rsidRPr="00000000" w14:paraId="0000005F">
                  <w:pPr>
                    <w:spacing w:after="57" w:before="57" w:lineRule="auto"/>
                    <w:jc w:val="center"/>
                    <w:rPr>
                      <w:b w:val="1"/>
                      <w:bCs w:val="1"/>
                      <w:sz w:val="18"/>
                      <w:szCs w:val="18"/>
                    </w:rPr>
                  </w:pPr>
                  <w:r w:rsidDel="00000000" w:rsidR="00000000" w:rsidRPr="00000000">
                    <w:rPr>
                      <w:b w:val="1"/>
                      <w:bCs w:val="1"/>
                      <w:sz w:val="18"/>
                      <w:szCs w:val="18"/>
                      <w:rtl w:val="0"/>
                    </w:rPr>
                    <w:t xml:space="preserve">TOTAL (UN)</w:t>
                  </w:r>
                </w:p>
              </w:tc>
            </w:tr>
            <w:tr>
              <w:trPr>
                <w:cantSplit w:val="0"/>
                <w:tblHeader w:val="0"/>
              </w:trPr>
              <w:tc>
                <w:tcPr>
                  <w:shd w:fill="d5d5d5" w:val="clear"/>
                  <w:vAlign w:val="center"/>
                </w:tcPr>
                <w:p w:rsidR="00000000" w:rsidDel="00000000" w:rsidP="00000000" w:rsidRDefault="00000000" w:rsidRPr="00000000" w14:paraId="00000060">
                  <w:pPr>
                    <w:spacing w:after="57" w:before="57" w:lineRule="auto"/>
                    <w:jc w:val="center"/>
                    <w:rPr>
                      <w:b w:val="1"/>
                      <w:bCs w:val="1"/>
                      <w:sz w:val="18"/>
                      <w:szCs w:val="18"/>
                    </w:rPr>
                  </w:pPr>
                  <w:r w:rsidDel="00000000" w:rsidR="00000000" w:rsidRPr="00000000">
                    <w:rPr>
                      <w:b w:val="1"/>
                      <w:bCs w:val="1"/>
                      <w:sz w:val="18"/>
                      <w:szCs w:val="18"/>
                      <w:rtl w:val="0"/>
                    </w:rPr>
                    <w:t xml:space="preserve">PREVIDÊNCIA GERAL</w:t>
                  </w:r>
                </w:p>
              </w:tc>
              <w:tc>
                <w:tcPr>
                  <w:vAlign w:val="center"/>
                </w:tcPr>
                <w:p w:rsidR="00000000" w:rsidDel="00000000" w:rsidP="00000000" w:rsidRDefault="00000000" w:rsidRPr="00000000" w14:paraId="00000061">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62">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63">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64">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65">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66">
                  <w:pPr>
                    <w:spacing w:after="57" w:before="57" w:lineRule="auto"/>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067">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68">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69">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6A">
                  <w:pPr>
                    <w:spacing w:after="57" w:before="57" w:lineRule="auto"/>
                    <w:jc w:val="center"/>
                    <w:rPr>
                      <w:sz w:val="18"/>
                      <w:szCs w:val="18"/>
                    </w:rPr>
                  </w:pPr>
                  <w:r w:rsidDel="00000000" w:rsidR="00000000" w:rsidRPr="00000000">
                    <w:rPr>
                      <w:rtl w:val="0"/>
                    </w:rPr>
                  </w:r>
                </w:p>
              </w:tc>
              <w:tc>
                <w:tcPr>
                  <w:shd w:fill="ffd932" w:val="clear"/>
                  <w:vAlign w:val="center"/>
                </w:tcPr>
                <w:p w:rsidR="00000000" w:rsidDel="00000000" w:rsidP="00000000" w:rsidRDefault="00000000" w:rsidRPr="00000000" w14:paraId="0000006B">
                  <w:pPr>
                    <w:spacing w:after="57" w:before="57" w:lineRule="auto"/>
                    <w:jc w:val="center"/>
                    <w:rPr>
                      <w:sz w:val="18"/>
                      <w:szCs w:val="18"/>
                    </w:rPr>
                  </w:pPr>
                  <w:r w:rsidDel="00000000" w:rsidR="00000000" w:rsidRPr="00000000">
                    <w:rPr>
                      <w:sz w:val="18"/>
                      <w:szCs w:val="18"/>
                      <w:rtl w:val="0"/>
                    </w:rPr>
                    <w:t xml:space="preserve">1</w:t>
                  </w:r>
                </w:p>
              </w:tc>
            </w:tr>
            <w:tr>
              <w:trPr>
                <w:cantSplit w:val="0"/>
                <w:tblHeader w:val="0"/>
              </w:trPr>
              <w:tc>
                <w:tcPr>
                  <w:shd w:fill="d5d5d5" w:val="clear"/>
                  <w:vAlign w:val="center"/>
                </w:tcPr>
                <w:p w:rsidR="00000000" w:rsidDel="00000000" w:rsidP="00000000" w:rsidRDefault="00000000" w:rsidRPr="00000000" w14:paraId="0000006C">
                  <w:pPr>
                    <w:spacing w:after="57" w:before="57" w:lineRule="auto"/>
                    <w:jc w:val="center"/>
                    <w:rPr>
                      <w:b w:val="1"/>
                      <w:bCs w:val="1"/>
                      <w:sz w:val="18"/>
                      <w:szCs w:val="18"/>
                    </w:rPr>
                  </w:pPr>
                  <w:r w:rsidDel="00000000" w:rsidR="00000000" w:rsidRPr="00000000">
                    <w:rPr>
                      <w:b w:val="1"/>
                      <w:bCs w:val="1"/>
                      <w:sz w:val="18"/>
                      <w:szCs w:val="18"/>
                      <w:rtl w:val="0"/>
                    </w:rPr>
                    <w:t xml:space="preserve">RAT</w:t>
                  </w:r>
                </w:p>
              </w:tc>
              <w:tc>
                <w:tcPr>
                  <w:vAlign w:val="center"/>
                </w:tcPr>
                <w:p w:rsidR="00000000" w:rsidDel="00000000" w:rsidP="00000000" w:rsidRDefault="00000000" w:rsidRPr="00000000" w14:paraId="0000006D">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6E">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6F">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0">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1">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2">
                  <w:pPr>
                    <w:spacing w:after="57" w:before="57" w:lineRule="auto"/>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073">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4">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5">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6">
                  <w:pPr>
                    <w:spacing w:after="57" w:before="57" w:lineRule="auto"/>
                    <w:jc w:val="center"/>
                    <w:rPr>
                      <w:sz w:val="18"/>
                      <w:szCs w:val="18"/>
                    </w:rPr>
                  </w:pPr>
                  <w:r w:rsidDel="00000000" w:rsidR="00000000" w:rsidRPr="00000000">
                    <w:rPr>
                      <w:rtl w:val="0"/>
                    </w:rPr>
                  </w:r>
                </w:p>
              </w:tc>
              <w:tc>
                <w:tcPr>
                  <w:shd w:fill="ffd932" w:val="clear"/>
                  <w:vAlign w:val="center"/>
                </w:tcPr>
                <w:p w:rsidR="00000000" w:rsidDel="00000000" w:rsidP="00000000" w:rsidRDefault="00000000" w:rsidRPr="00000000" w14:paraId="00000077">
                  <w:pPr>
                    <w:spacing w:after="57" w:before="57" w:lineRule="auto"/>
                    <w:jc w:val="center"/>
                    <w:rPr>
                      <w:sz w:val="18"/>
                      <w:szCs w:val="18"/>
                    </w:rPr>
                  </w:pPr>
                  <w:r w:rsidDel="00000000" w:rsidR="00000000" w:rsidRPr="00000000">
                    <w:rPr>
                      <w:sz w:val="18"/>
                      <w:szCs w:val="18"/>
                      <w:rtl w:val="0"/>
                    </w:rPr>
                    <w:t xml:space="preserve">1</w:t>
                  </w:r>
                </w:p>
              </w:tc>
            </w:tr>
            <w:tr>
              <w:trPr>
                <w:cantSplit w:val="0"/>
                <w:tblHeader w:val="0"/>
              </w:trPr>
              <w:tc>
                <w:tcPr>
                  <w:shd w:fill="d5d5d5" w:val="clear"/>
                  <w:vAlign w:val="center"/>
                </w:tcPr>
                <w:p w:rsidR="00000000" w:rsidDel="00000000" w:rsidP="00000000" w:rsidRDefault="00000000" w:rsidRPr="00000000" w14:paraId="00000078">
                  <w:pPr>
                    <w:spacing w:after="57" w:before="57" w:lineRule="auto"/>
                    <w:jc w:val="center"/>
                    <w:rPr>
                      <w:b w:val="1"/>
                      <w:bCs w:val="1"/>
                      <w:sz w:val="18"/>
                      <w:szCs w:val="18"/>
                    </w:rPr>
                  </w:pPr>
                  <w:r w:rsidDel="00000000" w:rsidR="00000000" w:rsidRPr="00000000">
                    <w:rPr>
                      <w:b w:val="1"/>
                      <w:bCs w:val="1"/>
                      <w:sz w:val="18"/>
                      <w:szCs w:val="18"/>
                      <w:rtl w:val="0"/>
                    </w:rPr>
                    <w:t xml:space="preserve">PASEP</w:t>
                  </w:r>
                </w:p>
              </w:tc>
              <w:tc>
                <w:tcPr>
                  <w:vAlign w:val="center"/>
                </w:tcPr>
                <w:p w:rsidR="00000000" w:rsidDel="00000000" w:rsidP="00000000" w:rsidRDefault="00000000" w:rsidRPr="00000000" w14:paraId="00000079">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A">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B">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C">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D">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7E">
                  <w:pPr>
                    <w:spacing w:after="57" w:before="57" w:lineRule="auto"/>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07F">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0">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1">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2">
                  <w:pPr>
                    <w:spacing w:after="57" w:before="57" w:lineRule="auto"/>
                    <w:jc w:val="center"/>
                    <w:rPr>
                      <w:sz w:val="18"/>
                      <w:szCs w:val="18"/>
                    </w:rPr>
                  </w:pPr>
                  <w:r w:rsidDel="00000000" w:rsidR="00000000" w:rsidRPr="00000000">
                    <w:rPr>
                      <w:rtl w:val="0"/>
                    </w:rPr>
                  </w:r>
                </w:p>
              </w:tc>
              <w:tc>
                <w:tcPr>
                  <w:shd w:fill="ffd932" w:val="clear"/>
                  <w:vAlign w:val="center"/>
                </w:tcPr>
                <w:p w:rsidR="00000000" w:rsidDel="00000000" w:rsidP="00000000" w:rsidRDefault="00000000" w:rsidRPr="00000000" w14:paraId="00000083">
                  <w:pPr>
                    <w:spacing w:after="57" w:before="57" w:lineRule="auto"/>
                    <w:jc w:val="center"/>
                    <w:rPr>
                      <w:sz w:val="18"/>
                      <w:szCs w:val="18"/>
                    </w:rPr>
                  </w:pPr>
                  <w:r w:rsidDel="00000000" w:rsidR="00000000" w:rsidRPr="00000000">
                    <w:rPr>
                      <w:sz w:val="18"/>
                      <w:szCs w:val="18"/>
                      <w:rtl w:val="0"/>
                    </w:rPr>
                    <w:t xml:space="preserve">1</w:t>
                  </w:r>
                </w:p>
              </w:tc>
            </w:tr>
            <w:tr>
              <w:trPr>
                <w:cantSplit w:val="0"/>
                <w:tblHeader w:val="0"/>
              </w:trPr>
              <w:tc>
                <w:tcPr>
                  <w:shd w:fill="d5d5d5" w:val="clear"/>
                  <w:vAlign w:val="center"/>
                </w:tcPr>
                <w:p w:rsidR="00000000" w:rsidDel="00000000" w:rsidP="00000000" w:rsidRDefault="00000000" w:rsidRPr="00000000" w14:paraId="00000084">
                  <w:pPr>
                    <w:spacing w:after="57" w:before="57" w:lineRule="auto"/>
                    <w:jc w:val="center"/>
                    <w:rPr>
                      <w:b w:val="1"/>
                      <w:bCs w:val="1"/>
                      <w:sz w:val="18"/>
                      <w:szCs w:val="18"/>
                    </w:rPr>
                  </w:pPr>
                  <w:r w:rsidDel="00000000" w:rsidR="00000000" w:rsidRPr="00000000">
                    <w:rPr>
                      <w:b w:val="1"/>
                      <w:bCs w:val="1"/>
                      <w:sz w:val="18"/>
                      <w:szCs w:val="18"/>
                      <w:rtl w:val="0"/>
                    </w:rPr>
                    <w:t xml:space="preserve">PREVIDÊNCIA PRÓPRIA</w:t>
                  </w:r>
                </w:p>
              </w:tc>
              <w:tc>
                <w:tcPr>
                  <w:vAlign w:val="center"/>
                </w:tcPr>
                <w:p w:rsidR="00000000" w:rsidDel="00000000" w:rsidP="00000000" w:rsidRDefault="00000000" w:rsidRPr="00000000" w14:paraId="00000085">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6">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7">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8">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9">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A">
                  <w:pPr>
                    <w:spacing w:after="57" w:before="57" w:lineRule="auto"/>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08B">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C">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D">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8E">
                  <w:pPr>
                    <w:spacing w:after="57" w:before="57" w:lineRule="auto"/>
                    <w:jc w:val="center"/>
                    <w:rPr>
                      <w:sz w:val="18"/>
                      <w:szCs w:val="18"/>
                    </w:rPr>
                  </w:pPr>
                  <w:r w:rsidDel="00000000" w:rsidR="00000000" w:rsidRPr="00000000">
                    <w:rPr>
                      <w:rtl w:val="0"/>
                    </w:rPr>
                  </w:r>
                </w:p>
              </w:tc>
              <w:tc>
                <w:tcPr>
                  <w:shd w:fill="ffd932" w:val="clear"/>
                  <w:vAlign w:val="center"/>
                </w:tcPr>
                <w:p w:rsidR="00000000" w:rsidDel="00000000" w:rsidP="00000000" w:rsidRDefault="00000000" w:rsidRPr="00000000" w14:paraId="0000008F">
                  <w:pPr>
                    <w:spacing w:after="57" w:before="57" w:lineRule="auto"/>
                    <w:jc w:val="center"/>
                    <w:rPr>
                      <w:sz w:val="18"/>
                      <w:szCs w:val="18"/>
                    </w:rPr>
                  </w:pPr>
                  <w:r w:rsidDel="00000000" w:rsidR="00000000" w:rsidRPr="00000000">
                    <w:rPr>
                      <w:sz w:val="18"/>
                      <w:szCs w:val="18"/>
                      <w:rtl w:val="0"/>
                    </w:rPr>
                    <w:t xml:space="preserve">1</w:t>
                  </w:r>
                </w:p>
              </w:tc>
            </w:tr>
            <w:tr>
              <w:trPr>
                <w:cantSplit w:val="0"/>
                <w:tblHeader w:val="0"/>
              </w:trPr>
              <w:tc>
                <w:tcPr>
                  <w:shd w:fill="d5d5d5" w:val="clear"/>
                  <w:vAlign w:val="center"/>
                </w:tcPr>
                <w:p w:rsidR="00000000" w:rsidDel="00000000" w:rsidP="00000000" w:rsidRDefault="00000000" w:rsidRPr="00000000" w14:paraId="00000090">
                  <w:pPr>
                    <w:spacing w:after="57" w:before="57" w:lineRule="auto"/>
                    <w:jc w:val="center"/>
                    <w:rPr>
                      <w:b w:val="1"/>
                      <w:bCs w:val="1"/>
                      <w:sz w:val="18"/>
                      <w:szCs w:val="18"/>
                    </w:rPr>
                  </w:pPr>
                  <w:r w:rsidDel="00000000" w:rsidR="00000000" w:rsidRPr="00000000">
                    <w:rPr>
                      <w:b w:val="1"/>
                      <w:bCs w:val="1"/>
                      <w:sz w:val="18"/>
                      <w:szCs w:val="18"/>
                      <w:rtl w:val="0"/>
                    </w:rPr>
                    <w:t xml:space="preserve">IRPJ</w:t>
                  </w:r>
                </w:p>
              </w:tc>
              <w:tc>
                <w:tcPr>
                  <w:vAlign w:val="center"/>
                </w:tcPr>
                <w:p w:rsidR="00000000" w:rsidDel="00000000" w:rsidP="00000000" w:rsidRDefault="00000000" w:rsidRPr="00000000" w14:paraId="00000091">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2">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3">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4">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5">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6">
                  <w:pPr>
                    <w:spacing w:after="57" w:before="57" w:lineRule="auto"/>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097">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8">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9">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A">
                  <w:pPr>
                    <w:spacing w:after="57" w:before="57" w:lineRule="auto"/>
                    <w:jc w:val="center"/>
                    <w:rPr>
                      <w:sz w:val="18"/>
                      <w:szCs w:val="18"/>
                    </w:rPr>
                  </w:pPr>
                  <w:r w:rsidDel="00000000" w:rsidR="00000000" w:rsidRPr="00000000">
                    <w:rPr>
                      <w:rtl w:val="0"/>
                    </w:rPr>
                  </w:r>
                </w:p>
              </w:tc>
              <w:tc>
                <w:tcPr>
                  <w:shd w:fill="ffd932" w:val="clear"/>
                  <w:vAlign w:val="center"/>
                </w:tcPr>
                <w:p w:rsidR="00000000" w:rsidDel="00000000" w:rsidP="00000000" w:rsidRDefault="00000000" w:rsidRPr="00000000" w14:paraId="0000009B">
                  <w:pPr>
                    <w:spacing w:after="57" w:before="57" w:lineRule="auto"/>
                    <w:jc w:val="center"/>
                    <w:rPr>
                      <w:sz w:val="18"/>
                      <w:szCs w:val="18"/>
                    </w:rPr>
                  </w:pPr>
                  <w:r w:rsidDel="00000000" w:rsidR="00000000" w:rsidRPr="00000000">
                    <w:rPr>
                      <w:sz w:val="18"/>
                      <w:szCs w:val="18"/>
                      <w:rtl w:val="0"/>
                    </w:rPr>
                    <w:t xml:space="preserve">1</w:t>
                  </w:r>
                </w:p>
              </w:tc>
            </w:tr>
            <w:tr>
              <w:trPr>
                <w:cantSplit w:val="0"/>
                <w:tblHeader w:val="0"/>
              </w:trPr>
              <w:tc>
                <w:tcPr>
                  <w:shd w:fill="d5d5d5" w:val="clear"/>
                  <w:vAlign w:val="center"/>
                </w:tcPr>
                <w:p w:rsidR="00000000" w:rsidDel="00000000" w:rsidP="00000000" w:rsidRDefault="00000000" w:rsidRPr="00000000" w14:paraId="0000009C">
                  <w:pPr>
                    <w:spacing w:after="57" w:before="57" w:lineRule="auto"/>
                    <w:jc w:val="center"/>
                    <w:rPr>
                      <w:b w:val="1"/>
                      <w:bCs w:val="1"/>
                      <w:sz w:val="18"/>
                      <w:szCs w:val="18"/>
                    </w:rPr>
                  </w:pPr>
                  <w:r w:rsidDel="00000000" w:rsidR="00000000" w:rsidRPr="00000000">
                    <w:rPr>
                      <w:b w:val="1"/>
                      <w:bCs w:val="1"/>
                      <w:sz w:val="18"/>
                      <w:szCs w:val="18"/>
                      <w:rtl w:val="0"/>
                    </w:rPr>
                    <w:t xml:space="preserve">TELEFONIA</w:t>
                  </w:r>
                </w:p>
              </w:tc>
              <w:tc>
                <w:tcPr>
                  <w:vAlign w:val="center"/>
                </w:tcPr>
                <w:p w:rsidR="00000000" w:rsidDel="00000000" w:rsidP="00000000" w:rsidRDefault="00000000" w:rsidRPr="00000000" w14:paraId="0000009D">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E">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9F">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0">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1">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2">
                  <w:pPr>
                    <w:spacing w:after="57" w:before="57" w:lineRule="auto"/>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0A3">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4">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5">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6">
                  <w:pPr>
                    <w:spacing w:after="57" w:before="57" w:lineRule="auto"/>
                    <w:jc w:val="center"/>
                    <w:rPr>
                      <w:sz w:val="18"/>
                      <w:szCs w:val="18"/>
                    </w:rPr>
                  </w:pPr>
                  <w:r w:rsidDel="00000000" w:rsidR="00000000" w:rsidRPr="00000000">
                    <w:rPr>
                      <w:rtl w:val="0"/>
                    </w:rPr>
                  </w:r>
                </w:p>
              </w:tc>
              <w:tc>
                <w:tcPr>
                  <w:shd w:fill="ffd932" w:val="clear"/>
                  <w:vAlign w:val="center"/>
                </w:tcPr>
                <w:p w:rsidR="00000000" w:rsidDel="00000000" w:rsidP="00000000" w:rsidRDefault="00000000" w:rsidRPr="00000000" w14:paraId="000000A7">
                  <w:pPr>
                    <w:spacing w:after="57" w:before="57" w:lineRule="auto"/>
                    <w:jc w:val="center"/>
                    <w:rPr>
                      <w:sz w:val="18"/>
                      <w:szCs w:val="18"/>
                    </w:rPr>
                  </w:pPr>
                  <w:r w:rsidDel="00000000" w:rsidR="00000000" w:rsidRPr="00000000">
                    <w:rPr>
                      <w:sz w:val="18"/>
                      <w:szCs w:val="18"/>
                      <w:rtl w:val="0"/>
                    </w:rPr>
                    <w:t xml:space="preserve">1</w:t>
                  </w:r>
                </w:p>
              </w:tc>
            </w:tr>
            <w:tr>
              <w:trPr>
                <w:cantSplit w:val="0"/>
                <w:tblHeader w:val="0"/>
              </w:trPr>
              <w:tc>
                <w:tcPr>
                  <w:shd w:fill="d5d5d5" w:val="clear"/>
                  <w:vAlign w:val="center"/>
                </w:tcPr>
                <w:p w:rsidR="00000000" w:rsidDel="00000000" w:rsidP="00000000" w:rsidRDefault="00000000" w:rsidRPr="00000000" w14:paraId="000000A8">
                  <w:pPr>
                    <w:spacing w:after="57" w:before="57" w:lineRule="auto"/>
                    <w:jc w:val="center"/>
                    <w:rPr>
                      <w:b w:val="1"/>
                      <w:bCs w:val="1"/>
                      <w:sz w:val="18"/>
                      <w:szCs w:val="18"/>
                    </w:rPr>
                  </w:pPr>
                  <w:r w:rsidDel="00000000" w:rsidR="00000000" w:rsidRPr="00000000">
                    <w:rPr>
                      <w:b w:val="1"/>
                      <w:bCs w:val="1"/>
                      <w:sz w:val="18"/>
                      <w:szCs w:val="18"/>
                      <w:rtl w:val="0"/>
                    </w:rPr>
                    <w:t xml:space="preserve">SUS</w:t>
                  </w:r>
                </w:p>
              </w:tc>
              <w:tc>
                <w:tcPr>
                  <w:vAlign w:val="center"/>
                </w:tcPr>
                <w:p w:rsidR="00000000" w:rsidDel="00000000" w:rsidP="00000000" w:rsidRDefault="00000000" w:rsidRPr="00000000" w14:paraId="000000A9">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A">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B">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C">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D">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AE">
                  <w:pPr>
                    <w:spacing w:after="57" w:before="57" w:lineRule="auto"/>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0AF">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0">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1">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2">
                  <w:pPr>
                    <w:spacing w:after="57" w:before="57" w:lineRule="auto"/>
                    <w:jc w:val="center"/>
                    <w:rPr>
                      <w:sz w:val="18"/>
                      <w:szCs w:val="18"/>
                    </w:rPr>
                  </w:pPr>
                  <w:r w:rsidDel="00000000" w:rsidR="00000000" w:rsidRPr="00000000">
                    <w:rPr>
                      <w:rtl w:val="0"/>
                    </w:rPr>
                  </w:r>
                </w:p>
              </w:tc>
              <w:tc>
                <w:tcPr>
                  <w:shd w:fill="ffd932" w:val="clear"/>
                  <w:vAlign w:val="center"/>
                </w:tcPr>
                <w:p w:rsidR="00000000" w:rsidDel="00000000" w:rsidP="00000000" w:rsidRDefault="00000000" w:rsidRPr="00000000" w14:paraId="000000B3">
                  <w:pPr>
                    <w:spacing w:after="57" w:before="57" w:lineRule="auto"/>
                    <w:jc w:val="center"/>
                    <w:rPr>
                      <w:sz w:val="18"/>
                      <w:szCs w:val="18"/>
                    </w:rPr>
                  </w:pPr>
                  <w:r w:rsidDel="00000000" w:rsidR="00000000" w:rsidRPr="00000000">
                    <w:rPr>
                      <w:sz w:val="18"/>
                      <w:szCs w:val="18"/>
                      <w:rtl w:val="0"/>
                    </w:rPr>
                    <w:t xml:space="preserve">1</w:t>
                  </w:r>
                </w:p>
              </w:tc>
            </w:tr>
            <w:tr>
              <w:trPr>
                <w:cantSplit w:val="0"/>
                <w:tblHeader w:val="0"/>
              </w:trPr>
              <w:tc>
                <w:tcPr>
                  <w:shd w:fill="d5d5d5" w:val="clear"/>
                  <w:vAlign w:val="center"/>
                </w:tcPr>
                <w:p w:rsidR="00000000" w:rsidDel="00000000" w:rsidP="00000000" w:rsidRDefault="00000000" w:rsidRPr="00000000" w14:paraId="000000B4">
                  <w:pPr>
                    <w:spacing w:after="57" w:before="57" w:lineRule="auto"/>
                    <w:jc w:val="center"/>
                    <w:rPr>
                      <w:b w:val="1"/>
                      <w:bCs w:val="1"/>
                      <w:sz w:val="18"/>
                      <w:szCs w:val="18"/>
                    </w:rPr>
                  </w:pPr>
                  <w:r w:rsidDel="00000000" w:rsidR="00000000" w:rsidRPr="00000000">
                    <w:rPr>
                      <w:b w:val="1"/>
                      <w:bCs w:val="1"/>
                      <w:sz w:val="18"/>
                      <w:szCs w:val="18"/>
                      <w:rtl w:val="0"/>
                    </w:rPr>
                    <w:t xml:space="preserve">FUNDEB</w:t>
                  </w:r>
                </w:p>
              </w:tc>
              <w:tc>
                <w:tcPr>
                  <w:vAlign w:val="center"/>
                </w:tcPr>
                <w:p w:rsidR="00000000" w:rsidDel="00000000" w:rsidP="00000000" w:rsidRDefault="00000000" w:rsidRPr="00000000" w14:paraId="000000B5">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6">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7">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8">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9">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A">
                  <w:pPr>
                    <w:spacing w:after="57" w:before="57" w:lineRule="auto"/>
                    <w:jc w:val="center"/>
                    <w:rPr>
                      <w:sz w:val="18"/>
                      <w:szCs w:val="18"/>
                    </w:rPr>
                  </w:pPr>
                  <w:r w:rsidDel="00000000" w:rsidR="00000000" w:rsidRPr="00000000">
                    <w:rPr>
                      <w:sz w:val="18"/>
                      <w:szCs w:val="18"/>
                      <w:rtl w:val="0"/>
                    </w:rPr>
                    <w:t xml:space="preserve">1</w:t>
                  </w:r>
                </w:p>
              </w:tc>
              <w:tc>
                <w:tcPr>
                  <w:vAlign w:val="center"/>
                </w:tcPr>
                <w:p w:rsidR="00000000" w:rsidDel="00000000" w:rsidP="00000000" w:rsidRDefault="00000000" w:rsidRPr="00000000" w14:paraId="000000BB">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C">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D">
                  <w:pPr>
                    <w:spacing w:after="57" w:before="57" w:lineRule="auto"/>
                    <w:jc w:val="center"/>
                    <w:rPr>
                      <w:sz w:val="18"/>
                      <w:szCs w:val="18"/>
                    </w:rPr>
                  </w:pPr>
                  <w:r w:rsidDel="00000000" w:rsidR="00000000" w:rsidRPr="00000000">
                    <w:rPr>
                      <w:rtl w:val="0"/>
                    </w:rPr>
                  </w:r>
                </w:p>
              </w:tc>
              <w:tc>
                <w:tcPr>
                  <w:vAlign w:val="center"/>
                </w:tcPr>
                <w:p w:rsidR="00000000" w:rsidDel="00000000" w:rsidP="00000000" w:rsidRDefault="00000000" w:rsidRPr="00000000" w14:paraId="000000BE">
                  <w:pPr>
                    <w:spacing w:after="57" w:before="57" w:lineRule="auto"/>
                    <w:jc w:val="center"/>
                    <w:rPr>
                      <w:sz w:val="18"/>
                      <w:szCs w:val="18"/>
                    </w:rPr>
                  </w:pPr>
                  <w:r w:rsidDel="00000000" w:rsidR="00000000" w:rsidRPr="00000000">
                    <w:rPr>
                      <w:rtl w:val="0"/>
                    </w:rPr>
                  </w:r>
                </w:p>
              </w:tc>
              <w:tc>
                <w:tcPr>
                  <w:shd w:fill="ffd932" w:val="clear"/>
                  <w:vAlign w:val="center"/>
                </w:tcPr>
                <w:p w:rsidR="00000000" w:rsidDel="00000000" w:rsidP="00000000" w:rsidRDefault="00000000" w:rsidRPr="00000000" w14:paraId="000000BF">
                  <w:pPr>
                    <w:spacing w:after="57" w:before="57" w:lineRule="auto"/>
                    <w:jc w:val="center"/>
                    <w:rPr>
                      <w:sz w:val="18"/>
                      <w:szCs w:val="18"/>
                    </w:rPr>
                  </w:pPr>
                  <w:r w:rsidDel="00000000" w:rsidR="00000000" w:rsidRPr="00000000">
                    <w:rPr>
                      <w:sz w:val="18"/>
                      <w:szCs w:val="18"/>
                      <w:rtl w:val="0"/>
                    </w:rPr>
                    <w:t xml:space="preserve">1</w:t>
                  </w:r>
                </w:p>
              </w:tc>
            </w:tr>
          </w:tbl>
          <w:p w:rsidR="00000000" w:rsidDel="00000000" w:rsidP="00000000" w:rsidRDefault="00000000" w:rsidRPr="00000000" w14:paraId="000000C0">
            <w:pPr>
              <w:spacing w:after="57" w:before="57" w:lineRule="auto"/>
              <w:jc w:val="both"/>
              <w:rPr/>
            </w:pPr>
            <w:r w:rsidDel="00000000" w:rsidR="00000000" w:rsidRPr="00000000">
              <w:rPr>
                <w:rtl w:val="0"/>
              </w:rPr>
            </w:r>
          </w:p>
          <w:p w:rsidR="00000000" w:rsidDel="00000000" w:rsidP="00000000" w:rsidRDefault="00000000" w:rsidRPr="00000000" w14:paraId="000000C1">
            <w:pPr>
              <w:spacing w:after="57" w:before="57" w:lineRule="auto"/>
              <w:jc w:val="both"/>
              <w:rPr/>
            </w:pPr>
            <w:r w:rsidDel="00000000" w:rsidR="00000000" w:rsidRPr="00000000">
              <w:rPr>
                <w:rtl w:val="0"/>
              </w:rPr>
              <w:t xml:space="preserve">O objeto compreende serviços técnicos especializados de consultoria e assessoria administrativa com solução informatizada, destinados ao levantamento, auditoria, apuração, regularização e recuperação de créditos tributários e previdenciários dos entes consorciados.</w:t>
            </w:r>
          </w:p>
          <w:p w:rsidR="00000000" w:rsidDel="00000000" w:rsidP="00000000" w:rsidRDefault="00000000" w:rsidRPr="00000000" w14:paraId="000000C2">
            <w:pPr>
              <w:spacing w:after="57" w:before="57" w:lineRule="auto"/>
              <w:jc w:val="both"/>
              <w:rPr/>
            </w:pPr>
            <w:r w:rsidDel="00000000" w:rsidR="00000000" w:rsidRPr="00000000">
              <w:rPr>
                <w:rtl w:val="0"/>
              </w:rPr>
            </w:r>
          </w:p>
          <w:p w:rsidR="00000000" w:rsidDel="00000000" w:rsidP="00000000" w:rsidRDefault="00000000" w:rsidRPr="00000000" w14:paraId="000000C3">
            <w:pPr>
              <w:spacing w:after="57" w:before="57" w:lineRule="auto"/>
              <w:jc w:val="both"/>
              <w:rPr/>
            </w:pPr>
            <w:r w:rsidDel="00000000" w:rsidR="00000000" w:rsidRPr="00000000">
              <w:rPr>
                <w:rtl w:val="0"/>
              </w:rPr>
              <w:t xml:space="preserve">Cada unidade de serviço corresponderá a um módulo autônomo de execução, aplicado individualmente a cada Município, de modo que a demanda e o consumo dos serviços sejam dimensionados de forma independente, conforme a efetiva necessidade e capacidade operacional de cada participante. </w:t>
            </w:r>
          </w:p>
          <w:p w:rsidR="00000000" w:rsidDel="00000000" w:rsidP="00000000" w:rsidRDefault="00000000" w:rsidRPr="00000000" w14:paraId="000000C4">
            <w:pPr>
              <w:spacing w:after="57" w:before="57" w:lineRule="auto"/>
              <w:jc w:val="both"/>
              <w:rPr/>
            </w:pPr>
            <w:r w:rsidDel="00000000" w:rsidR="00000000" w:rsidRPr="00000000">
              <w:rPr>
                <w:rtl w:val="0"/>
              </w:rPr>
            </w:r>
          </w:p>
          <w:p w:rsidR="00000000" w:rsidDel="00000000" w:rsidP="00000000" w:rsidRDefault="00000000" w:rsidRPr="00000000" w14:paraId="000000C5">
            <w:pPr>
              <w:spacing w:after="57" w:before="57" w:lineRule="auto"/>
              <w:jc w:val="both"/>
              <w:rPr/>
            </w:pPr>
            <w:r w:rsidDel="00000000" w:rsidR="00000000" w:rsidRPr="00000000">
              <w:rPr>
                <w:rtl w:val="0"/>
              </w:rPr>
              <w:t xml:space="preserve">Por questão de ordem lógica e para garantir a uniformidade e rastreabilidade das contratações, cada Município consorciado poderá demandar até uma unidade de cada tipo de serviço técnico listado na tabela abaixo, observada a disponibilidade de dotação orçamentária e o cronograma de execução aprovado. </w:t>
            </w:r>
          </w:p>
          <w:p w:rsidR="00000000" w:rsidDel="00000000" w:rsidP="00000000" w:rsidRDefault="00000000" w:rsidRPr="00000000" w14:paraId="000000C6">
            <w:pPr>
              <w:spacing w:after="57" w:before="57" w:lineRule="auto"/>
              <w:jc w:val="both"/>
              <w:rPr/>
            </w:pPr>
            <w:r w:rsidDel="00000000" w:rsidR="00000000" w:rsidRPr="00000000">
              <w:rPr>
                <w:rtl w:val="0"/>
              </w:rPr>
            </w:r>
          </w:p>
          <w:p w:rsidR="00000000" w:rsidDel="00000000" w:rsidP="00000000" w:rsidRDefault="00000000" w:rsidRPr="00000000" w14:paraId="000000C7">
            <w:pPr>
              <w:spacing w:after="57" w:before="57" w:lineRule="auto"/>
              <w:jc w:val="both"/>
              <w:rPr/>
            </w:pPr>
            <w:r w:rsidDel="00000000" w:rsidR="00000000" w:rsidRPr="00000000">
              <w:rPr>
                <w:rtl w:val="0"/>
              </w:rPr>
              <w:t xml:space="preserve">Deste modo, a sistemática modular ora adotada assegura flexibilidade, isonomia e economicidade, permitindo a execução descentralizada e autônoma dos serviços, sem comprometer a padronização metodológica e a governança centralizada do Consórcio Intermunicipal.</w:t>
            </w:r>
          </w:p>
        </w:tc>
      </w:tr>
      <w:tr>
        <w:trPr>
          <w:cantSplit w:val="0"/>
          <w:tblHeader w:val="0"/>
        </w:trPr>
        <w:tc>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cccccc" w:val="clear"/>
            <w:tcMar>
              <w:top w:w="55.0" w:type="dxa"/>
              <w:left w:w="55.0" w:type="dxa"/>
              <w:bottom w:w="55.0" w:type="dxa"/>
              <w:right w:w="55.0" w:type="dxa"/>
            </w:tcMar>
          </w:tcPr>
          <w:p w:rsidR="00000000" w:rsidDel="00000000" w:rsidP="00000000" w:rsidRDefault="00000000" w:rsidRPr="00000000" w14:paraId="000000C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381"/>
                <w:tab w:val="left" w:leader="none" w:pos="1140"/>
                <w:tab w:val="left" w:leader="none" w:pos="1395"/>
                <w:tab w:val="left" w:leader="none" w:pos="1650"/>
                <w:tab w:val="left" w:leader="none" w:pos="1965"/>
                <w:tab w:val="left" w:leader="none" w:pos="2220"/>
                <w:tab w:val="left" w:leader="none" w:pos="7336"/>
              </w:tabs>
              <w:spacing w:after="57" w:before="57" w:line="240" w:lineRule="auto"/>
              <w:ind w:left="381" w:right="0" w:hanging="381"/>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IDENTIFICAÇÃO DA ÁREA REQUISITANTE E RESPONSÁVEIS</w:t>
            </w:r>
          </w:p>
        </w:tc>
      </w:tr>
      <w:tr>
        <w:trPr>
          <w:cantSplit w:val="0"/>
          <w:trHeight w:val="397" w:hRule="atLeast"/>
          <w:tblHeader w:val="0"/>
        </w:trPr>
        <w:tc>
          <w:tcPr>
            <w:gridSpan w:val="2"/>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3">
            <w:pPr>
              <w:spacing w:line="276" w:lineRule="auto"/>
              <w:rPr/>
            </w:pPr>
            <w:r w:rsidDel="00000000" w:rsidR="00000000" w:rsidRPr="00000000">
              <w:rPr>
                <w:b w:val="1"/>
                <w:bCs w:val="1"/>
                <w:rtl w:val="0"/>
              </w:rPr>
              <w:t xml:space="preserve">Área Requisitante (Unidade/Setor/Depto): </w:t>
            </w:r>
            <w:r w:rsidDel="00000000" w:rsidR="00000000" w:rsidRPr="00000000">
              <w:rPr>
                <w:rtl w:val="0"/>
              </w:rPr>
              <w:t xml:space="preserve">Diretoria Executiva</w:t>
              <w:tab/>
            </w:r>
          </w:p>
        </w:tc>
      </w:tr>
      <w:tr>
        <w:trPr>
          <w:cantSplit w:val="1"/>
          <w:trHeight w:val="544" w:hRule="atLeast"/>
          <w:tblHeader w:val="0"/>
        </w:trPr>
        <w:tc>
          <w:tcPr>
            <w:gridSpan w:val="2"/>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3"/>
            <w:tcBorders>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D8">
            <w:pPr>
              <w:tabs>
                <w:tab w:val="left" w:leader="none" w:pos="155"/>
              </w:tabs>
              <w:rPr/>
            </w:pPr>
            <w:r w:rsidDel="00000000" w:rsidR="00000000" w:rsidRPr="00000000">
              <w:rPr>
                <w:b w:val="1"/>
                <w:bCs w:val="1"/>
                <w:rtl w:val="0"/>
              </w:rPr>
              <w:t xml:space="preserve">Responsável(eis) pela demanda:</w:t>
            </w:r>
            <w:r w:rsidDel="00000000" w:rsidR="00000000" w:rsidRPr="00000000">
              <w:rPr>
                <w:rtl w:val="0"/>
              </w:rPr>
            </w:r>
          </w:p>
        </w:tc>
      </w:tr>
      <w:tr>
        <w:trPr>
          <w:cantSplit w:val="0"/>
          <w:trHeight w:val="397" w:hRule="atLeast"/>
          <w:tblHeader w:val="0"/>
        </w:trPr>
        <w:tc>
          <w:tcPr>
            <w:gridSpan w:val="2"/>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3"/>
            <w:tcBorders>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DD">
            <w:pPr>
              <w:tabs>
                <w:tab w:val="left" w:leader="none" w:pos="155"/>
              </w:tabs>
              <w:spacing w:after="200" w:before="40" w:line="276" w:lineRule="auto"/>
              <w:rPr>
                <w:b w:val="1"/>
                <w:bCs w:val="1"/>
              </w:rPr>
            </w:pPr>
            <w:r w:rsidDel="00000000" w:rsidR="00000000" w:rsidRPr="00000000">
              <w:rPr>
                <w:b w:val="1"/>
                <w:bCs w:val="1"/>
                <w:rtl w:val="0"/>
              </w:rPr>
              <w:t xml:space="preserve">Nome: </w:t>
            </w:r>
            <w:r w:rsidDel="00000000" w:rsidR="00000000" w:rsidRPr="00000000">
              <w:rPr>
                <w:rtl w:val="0"/>
              </w:rPr>
              <w:t xml:space="preserve">Vinícius Salomão Gontijo Bahia</w:t>
            </w:r>
            <w:r w:rsidDel="00000000" w:rsidR="00000000" w:rsidRPr="00000000">
              <w:rPr>
                <w:rtl w:val="0"/>
              </w:rPr>
            </w:r>
          </w:p>
        </w:tc>
      </w:tr>
      <w:tr>
        <w:trPr>
          <w:cantSplit w:val="0"/>
          <w:trHeight w:val="397" w:hRule="atLeast"/>
          <w:tblHeader w:val="0"/>
        </w:trPr>
        <w:tc>
          <w:tcPr>
            <w:gridSpan w:val="2"/>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2">
            <w:pPr>
              <w:spacing w:after="200" w:before="40" w:line="276" w:lineRule="auto"/>
              <w:rPr>
                <w:b w:val="1"/>
                <w:bCs w:val="1"/>
              </w:rPr>
            </w:pPr>
            <w:r w:rsidDel="00000000" w:rsidR="00000000" w:rsidRPr="00000000">
              <w:rPr>
                <w:b w:val="1"/>
                <w:bCs w:val="1"/>
                <w:rtl w:val="0"/>
              </w:rPr>
              <w:t xml:space="preserve">Matrícula: </w:t>
            </w:r>
            <w:r w:rsidDel="00000000" w:rsidR="00000000" w:rsidRPr="00000000">
              <w:rPr>
                <w:rtl w:val="0"/>
              </w:rPr>
              <w:t xml:space="preserve">10</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3">
            <w:pPr>
              <w:tabs>
                <w:tab w:val="left" w:leader="none" w:pos="155"/>
              </w:tabs>
              <w:spacing w:after="200" w:before="40" w:line="276" w:lineRule="auto"/>
              <w:rPr>
                <w:b w:val="1"/>
                <w:bCs w:val="1"/>
              </w:rPr>
            </w:pPr>
            <w:r w:rsidDel="00000000" w:rsidR="00000000" w:rsidRPr="00000000">
              <w:rPr>
                <w:b w:val="1"/>
                <w:bCs w:val="1"/>
                <w:rtl w:val="0"/>
              </w:rPr>
              <w:t xml:space="preserve">Cargo/Função: </w:t>
            </w:r>
            <w:r w:rsidDel="00000000" w:rsidR="00000000" w:rsidRPr="00000000">
              <w:rPr>
                <w:rtl w:val="0"/>
              </w:rPr>
              <w:t xml:space="preserve">Diretor Executivo</w:t>
            </w:r>
            <w:r w:rsidDel="00000000" w:rsidR="00000000" w:rsidRPr="00000000">
              <w:rPr>
                <w:rtl w:val="0"/>
              </w:rPr>
            </w:r>
          </w:p>
        </w:tc>
      </w:tr>
    </w:tbl>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838"/>
          <w:tab w:val="left" w:leader="none" w:pos="1123"/>
          <w:tab w:val="left" w:leader="none" w:pos="1423"/>
          <w:tab w:val="left" w:leader="none" w:pos="1678"/>
          <w:tab w:val="left" w:leader="none" w:pos="1933"/>
          <w:tab w:val="left" w:leader="none" w:pos="2248"/>
          <w:tab w:val="left" w:leader="none" w:pos="2503"/>
          <w:tab w:val="left" w:leader="none" w:pos="7619"/>
        </w:tabs>
        <w:spacing w:after="57" w:before="57" w:line="240" w:lineRule="auto"/>
        <w:ind w:left="283" w:right="0" w:firstLine="0"/>
        <w:jc w:val="both"/>
        <w:rPr>
          <w:rFonts w:ascii="Times New Roman" w:cs="Times New Roman" w:eastAsia="Times New Roman" w:hAnsi="Times New Roman"/>
          <w:b w:val="0"/>
          <w:bCs w:val="0"/>
          <w:i w:val="0"/>
          <w:iCs w:val="0"/>
          <w:smallCaps w:val="0"/>
          <w:strike w:val="0"/>
          <w:color w:val="0000ff"/>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Calibri"/>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7"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372" w:hanging="372"/>
      </w:pPr>
      <w:rPr/>
    </w:lvl>
    <w:lvl w:ilvl="1">
      <w:start w:val="1"/>
      <w:numFmt w:val="decimal"/>
      <w:lvlText w:val="%1.%2-"/>
      <w:lvlJc w:val="left"/>
      <w:pPr>
        <w:ind w:left="720" w:hanging="720"/>
      </w:pPr>
      <w:rPr>
        <w:b w:val="1"/>
        <w:bCs w:val="1"/>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abstractNum w:abstractNumId="3">
    <w:lvl w:ilvl="0">
      <w:start w:val="2"/>
      <w:numFmt w:val="decimal"/>
      <w:lvlText w:val="%1."/>
      <w:lvlJc w:val="left"/>
      <w:pPr>
        <w:ind w:left="372" w:hanging="372"/>
      </w:pPr>
      <w:rPr/>
    </w:lvl>
    <w:lvl w:ilvl="1">
      <w:start w:val="1"/>
      <w:numFmt w:val="decimal"/>
      <w:lvlText w:val="%1.%2-"/>
      <w:lvlJc w:val="left"/>
      <w:pPr>
        <w:ind w:left="720" w:hanging="720"/>
      </w:pPr>
      <w:rPr>
        <w:rFonts w:ascii="Calibri" w:cs="Calibri" w:eastAsia="Calibri" w:hAnsi="Calibri"/>
        <w:b w:val="1"/>
        <w:bCs w:val="1"/>
        <w:color w:val="000000"/>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440" w:hanging="1440"/>
      </w:pPr>
      <w:rPr/>
    </w:lvl>
    <w:lvl w:ilvl="7">
      <w:start w:val="1"/>
      <w:numFmt w:val="decimal"/>
      <w:lvlText w:val="%1.%2.%3.%4.%5.%6.%7.%8."/>
      <w:lvlJc w:val="left"/>
      <w:pPr>
        <w:ind w:left="1800" w:hanging="180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Hyperlink">
    <w:name w:val="Hyperlink"/>
    <w:rPr>
      <w:u w:val="single"/>
    </w:rPr>
  </w:style>
  <w:style w:type="table" w:styleId="TableNormal0"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character" w:styleId="MenoPendente">
    <w:name w:val="Unresolved Mention"/>
    <w:basedOn w:val="Fontepargpadro"/>
    <w:uiPriority w:val="99"/>
    <w:semiHidden w:val="1"/>
    <w:unhideWhenUsed w:val="1"/>
    <w:rsid w:val="00FB45C5"/>
    <w:rPr>
      <w:color w:val="605e5c"/>
      <w:shd w:color="auto" w:fill="e1dfdd" w:val="clear"/>
    </w:rPr>
  </w:style>
  <w:style w:type="paragraph" w:styleId="Standard" w:customStyle="1">
    <w:name w:val="Standard"/>
    <w:rsid w:val="00FB45C5"/>
    <w:pPr>
      <w:widowControl w:val="0"/>
      <w:suppressAutoHyphens w:val="1"/>
      <w:autoSpaceDN w:val="0"/>
      <w:textAlignment w:val="baseline"/>
    </w:pPr>
    <w:rPr>
      <w:rFonts w:cs="Tahoma" w:eastAsia="SimSun"/>
      <w:kern w:val="3"/>
      <w:lang w:bidi="hi-IN" w:eastAsia="zh-CN" w:val="pt-BR"/>
    </w:rPr>
  </w:style>
  <w:style w:type="paragraph" w:styleId="Textbody" w:customStyle="1">
    <w:name w:val="Text body"/>
    <w:basedOn w:val="Standard"/>
    <w:rsid w:val="00FB45C5"/>
    <w:pPr>
      <w:spacing w:after="120"/>
    </w:pPr>
  </w:style>
  <w:style w:type="paragraph" w:styleId="TableContents" w:customStyle="1">
    <w:name w:val="Table Contents"/>
    <w:basedOn w:val="Standard"/>
    <w:rsid w:val="00FB45C5"/>
    <w:pPr>
      <w:suppressLineNumbers w:val="1"/>
    </w:pPr>
  </w:style>
  <w:style w:type="paragraph" w:styleId="EPTabela" w:customStyle="1">
    <w:name w:val="EP Tabela"/>
    <w:basedOn w:val="Normal"/>
    <w:rsid w:val="00FB45C5"/>
    <w:pPr>
      <w:widowControl w:val="0"/>
      <w:suppressAutoHyphens w:val="1"/>
      <w:autoSpaceDN w:val="0"/>
      <w:jc w:val="center"/>
      <w:textAlignment w:val="baseline"/>
    </w:pPr>
    <w:rPr>
      <w:rFonts w:cs="Arial" w:eastAsia="SimSun"/>
      <w:b w:val="1"/>
      <w:kern w:val="3"/>
      <w:sz w:val="22"/>
      <w:lang w:bidi="hi-IN" w:eastAsia="ar-SA" w:val="pt-BR"/>
    </w:rPr>
  </w:style>
  <w:style w:type="paragraph" w:styleId="EPConteudotabela" w:customStyle="1">
    <w:name w:val="EP Conteudotabela"/>
    <w:basedOn w:val="Normal"/>
    <w:rsid w:val="00FB45C5"/>
    <w:pPr>
      <w:widowControl w:val="0"/>
      <w:tabs>
        <w:tab w:val="left" w:pos="-302"/>
      </w:tabs>
      <w:suppressAutoHyphens w:val="1"/>
      <w:autoSpaceDN w:val="0"/>
      <w:spacing w:line="100" w:lineRule="atLeast"/>
      <w:ind w:left="23" w:firstLine="45"/>
      <w:textAlignment w:val="baseline"/>
    </w:pPr>
    <w:rPr>
      <w:rFonts w:cs="Arial" w:eastAsia="SimSun"/>
      <w:kern w:val="3"/>
      <w:lang w:bidi="hi-IN" w:eastAsia="ar-SA" w:val="pt-BR"/>
    </w:rPr>
  </w:style>
  <w:style w:type="paragraph" w:styleId="PargrafodaLista">
    <w:name w:val="List Paragraph"/>
    <w:basedOn w:val="Normal"/>
    <w:rsid w:val="00FB45C5"/>
    <w:pPr>
      <w:widowControl w:val="0"/>
      <w:suppressAutoHyphens w:val="1"/>
      <w:autoSpaceDN w:val="0"/>
      <w:ind w:left="720"/>
      <w:contextualSpacing w:val="1"/>
      <w:textAlignment w:val="baseline"/>
    </w:pPr>
    <w:rPr>
      <w:rFonts w:cs="Mangal" w:eastAsia="SimSun"/>
      <w:kern w:val="3"/>
      <w:szCs w:val="21"/>
      <w:lang w:bidi="hi-IN" w:eastAsia="hi-IN" w:val="pt-BR"/>
    </w:rPr>
  </w:style>
  <w:style w:type="table" w:styleId="Tabelacomgrade">
    <w:name w:val="Table Grid"/>
    <w:basedOn w:val="Tabelanormal"/>
    <w:uiPriority w:val="39"/>
    <w:rsid w:val="00A81B5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4jCv0a3eJMFXaAMUM2GEinyRPQ==">CgMxLjA4AHIhMUw5blNqQmY0cEVFalNvSElEY1dPNjRMb3J0WUlwckFu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2025-11-05T12:29:00Z</dcterms:created>
</cp:coreProperties>
</file>